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3" w:rsidRPr="003A0189" w:rsidRDefault="00F06D23" w:rsidP="00F06D23">
      <w:pPr>
        <w:rPr>
          <w:rFonts w:ascii="PT Astra Serif" w:hAnsi="PT Astra Serif"/>
          <w:sz w:val="28"/>
          <w:szCs w:val="28"/>
          <w:lang w:val="en-US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C17652" w:rsidRDefault="00C17652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правил использования </w:t>
      </w:r>
    </w:p>
    <w:p w:rsidR="00D97D12" w:rsidRPr="00F06D23" w:rsidRDefault="00C17652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водных объектов для рекреационных целей </w:t>
      </w:r>
    </w:p>
    <w:p w:rsidR="00C17652" w:rsidRDefault="00D97D12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 территории </w:t>
      </w:r>
      <w:r w:rsidR="00D4354A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06D23" w:rsidRDefault="00C17652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городской округ</w:t>
      </w:r>
      <w:r w:rsidR="00D4354A">
        <w:rPr>
          <w:rFonts w:ascii="PT Astra Serif" w:hAnsi="PT Astra Serif"/>
          <w:sz w:val="28"/>
          <w:szCs w:val="28"/>
        </w:rPr>
        <w:t xml:space="preserve"> город Тула</w:t>
      </w:r>
    </w:p>
    <w:p w:rsidR="009742E4" w:rsidRDefault="009742E4" w:rsidP="00A01EE3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9742E4" w:rsidRPr="00F06D23" w:rsidRDefault="009742E4" w:rsidP="00A01EE3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06D23" w:rsidRPr="00F06D23" w:rsidRDefault="00F06D23" w:rsidP="00A01EE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D23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 w:rsidR="009742E4">
        <w:rPr>
          <w:rFonts w:ascii="PT Astra Serif" w:hAnsi="PT Astra Serif"/>
          <w:sz w:val="28"/>
          <w:szCs w:val="28"/>
        </w:rPr>
        <w:br/>
      </w:r>
      <w:r w:rsidRPr="00F06D23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Устава муниципального образования </w:t>
      </w:r>
      <w:r w:rsidR="00C17652">
        <w:rPr>
          <w:rFonts w:ascii="PT Astra Serif" w:hAnsi="PT Astra Serif"/>
          <w:sz w:val="28"/>
          <w:szCs w:val="28"/>
        </w:rPr>
        <w:t xml:space="preserve">городской округ </w:t>
      </w:r>
      <w:r w:rsidRPr="00F06D23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:rsidR="005C1B7F" w:rsidRPr="0063137E" w:rsidRDefault="00F06D23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919E6">
        <w:rPr>
          <w:rFonts w:ascii="PT Astra Serif" w:hAnsi="PT Astra Serif"/>
          <w:sz w:val="28"/>
          <w:szCs w:val="28"/>
        </w:rPr>
        <w:t xml:space="preserve">Утвердить </w:t>
      </w:r>
      <w:r w:rsidR="00C17652">
        <w:rPr>
          <w:rFonts w:ascii="PT Astra Serif" w:hAnsi="PT Astra Serif"/>
          <w:sz w:val="28"/>
          <w:szCs w:val="28"/>
        </w:rPr>
        <w:t>Правила использования водных объектов для рекреационных целей на территории муниципального образования городской округ город Тула (приложение)</w:t>
      </w:r>
      <w:r w:rsidR="005C1B7F" w:rsidRPr="0063137E">
        <w:rPr>
          <w:rFonts w:ascii="PT Astra Serif" w:hAnsi="PT Astra Serif"/>
          <w:sz w:val="28"/>
          <w:szCs w:val="28"/>
        </w:rPr>
        <w:t>.</w:t>
      </w:r>
    </w:p>
    <w:p w:rsidR="000341FB" w:rsidRPr="000341FB" w:rsidRDefault="000341FB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341FB">
        <w:rPr>
          <w:rFonts w:ascii="PT Astra Serif" w:hAnsi="PT Astra Serif"/>
          <w:sz w:val="28"/>
          <w:szCs w:val="28"/>
        </w:rPr>
        <w:t>Разместить постановление</w:t>
      </w:r>
      <w:proofErr w:type="gramEnd"/>
      <w:r w:rsidRPr="000341FB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:rsidR="000341FB" w:rsidRPr="000341FB" w:rsidRDefault="000341FB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341FB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4919E6" w:rsidRDefault="004919E6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 администрации</w:t>
      </w: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И.И. Беспалов</w:t>
      </w:r>
    </w:p>
    <w:p w:rsidR="00484746" w:rsidRDefault="0048474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484746" w:rsidRDefault="00A01EE3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 w:rsidRPr="00F27D05">
        <w:rPr>
          <w:rFonts w:ascii="PT Astra Serif" w:hAnsi="PT Astra Serif"/>
          <w:sz w:val="28"/>
        </w:rPr>
        <w:lastRenderedPageBreak/>
        <w:t xml:space="preserve">Приложение </w:t>
      </w:r>
    </w:p>
    <w:p w:rsidR="000B5721" w:rsidRDefault="00F27D05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постановлению </w:t>
      </w:r>
    </w:p>
    <w:p w:rsidR="00E13404" w:rsidRDefault="00F27D05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bookmarkStart w:id="0" w:name="_GoBack"/>
      <w:bookmarkEnd w:id="0"/>
      <w:r>
        <w:rPr>
          <w:rFonts w:ascii="PT Astra Serif" w:hAnsi="PT Astra Serif"/>
          <w:sz w:val="28"/>
        </w:rPr>
        <w:t>а</w:t>
      </w:r>
      <w:r w:rsidR="0095602F">
        <w:rPr>
          <w:rFonts w:ascii="PT Astra Serif" w:hAnsi="PT Astra Serif"/>
          <w:sz w:val="28"/>
        </w:rPr>
        <w:t>дминистрации города Тулы</w:t>
      </w:r>
    </w:p>
    <w:p w:rsidR="00F27D05" w:rsidRPr="00F27D05" w:rsidRDefault="00E13404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_______________ №________</w:t>
      </w:r>
    </w:p>
    <w:p w:rsidR="00A01EE3" w:rsidRDefault="00A01EE3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rPr>
          <w:sz w:val="28"/>
        </w:rPr>
      </w:pPr>
    </w:p>
    <w:p w:rsidR="00A01EE3" w:rsidRPr="00E13404" w:rsidRDefault="00CD2947" w:rsidP="00792667">
      <w:pPr>
        <w:pStyle w:val="a3"/>
        <w:widowControl w:val="0"/>
        <w:autoSpaceDE w:val="0"/>
        <w:autoSpaceDN w:val="0"/>
        <w:spacing w:after="0" w:line="240" w:lineRule="auto"/>
        <w:ind w:left="0" w:right="3"/>
        <w:contextualSpacing w:val="0"/>
        <w:jc w:val="center"/>
        <w:rPr>
          <w:b/>
          <w:sz w:val="28"/>
        </w:rPr>
      </w:pPr>
      <w:r>
        <w:rPr>
          <w:rFonts w:ascii="PT Astra Serif" w:hAnsi="PT Astra Serif"/>
          <w:b/>
          <w:sz w:val="28"/>
          <w:szCs w:val="28"/>
        </w:rPr>
        <w:t>Правила использования водных объектов для рекреационных целей на территории</w:t>
      </w:r>
      <w:r w:rsidR="00A01EE3" w:rsidRPr="00E13404">
        <w:rPr>
          <w:rFonts w:ascii="PT Astra Serif" w:hAnsi="PT Astra Serif"/>
          <w:b/>
          <w:sz w:val="28"/>
          <w:szCs w:val="28"/>
        </w:rPr>
        <w:t xml:space="preserve"> </w:t>
      </w:r>
    </w:p>
    <w:p w:rsidR="00AB7959" w:rsidRPr="003243B5" w:rsidRDefault="00AB7959" w:rsidP="00792667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  <w:lang w:val="en-US"/>
        </w:rPr>
      </w:pPr>
      <w:r w:rsidRPr="003243B5">
        <w:rPr>
          <w:rFonts w:ascii="PT Astra Serif" w:hAnsi="PT Astra Serif"/>
          <w:b/>
        </w:rPr>
        <w:t>Общие положения</w:t>
      </w:r>
    </w:p>
    <w:p w:rsidR="00C17652" w:rsidRDefault="00C17652" w:rsidP="00C176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1.1. Настоящие Правила использования водных объектов для рекреационных целей на территории муниципального образования город Тула (далее – Правила) разработаны в соответствии с Федеральным законом от 6 октября 2003 года № 131-ФЗ «Об общих принципах организации местного самоуправления в Российской Федерации», Водным кодексом Российской Федерации, Уставом муниципального образования муниципального образования город Тула.</w:t>
      </w:r>
    </w:p>
    <w:p w:rsidR="00C17652" w:rsidRDefault="00C17652" w:rsidP="00C176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1.2. 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Настоящие Правила определяют требования, необходимые для использования и охраны водных объектов или их частей, расположенных на территории </w:t>
      </w:r>
      <w:r w:rsidR="00A9073C" w:rsidRPr="00A9073C">
        <w:rPr>
          <w:rFonts w:ascii="PT Astra Serif" w:hAnsi="PT Astra Serif" w:cs="Times New Roman"/>
          <w:sz w:val="28"/>
          <w:szCs w:val="28"/>
        </w:rPr>
        <w:t>муниципального образования городской округ город Тула</w:t>
      </w:r>
      <w:r>
        <w:rPr>
          <w:rFonts w:ascii="PT Astra Serif" w:hAnsi="PT Astra Serif" w:cs="Times New Roman"/>
          <w:sz w:val="28"/>
          <w:szCs w:val="28"/>
        </w:rPr>
        <w:t>,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(далее – водные объекты),</w:t>
      </w:r>
      <w:r>
        <w:rPr>
          <w:rFonts w:ascii="PT Astra Serif" w:hAnsi="PT Astra Serif"/>
          <w:sz w:val="28"/>
          <w:szCs w:val="28"/>
        </w:rPr>
        <w:t xml:space="preserve"> и обязательны для исполнения физическими лицами, юридическими лицами, индивидуальными предпринимателями, имеющими</w:t>
      </w:r>
      <w:proofErr w:type="gramEnd"/>
      <w:r>
        <w:rPr>
          <w:rFonts w:ascii="PT Astra Serif" w:hAnsi="PT Astra Serif"/>
          <w:sz w:val="28"/>
          <w:szCs w:val="28"/>
        </w:rPr>
        <w:t xml:space="preserve"> в собственности или на ином законном основании, в соответствии с законодательством Российской Федерации, земельный участок, предназначенный для оборудования и эксплуатации пляжа (далее – владельцы пляжа) и посетителями пляжей на территории </w:t>
      </w:r>
      <w:r w:rsidR="00A9073C" w:rsidRPr="00A9073C">
        <w:rPr>
          <w:rFonts w:ascii="PT Astra Serif" w:hAnsi="PT Astra Serif"/>
          <w:sz w:val="28"/>
          <w:szCs w:val="28"/>
        </w:rPr>
        <w:t>муниципального образования городской округ город Тула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1.3. В целях настоящих Правил используются следующие основные понятия: 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акватория - водное пространство в пределах естественных, искусственных или условных границ;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C17652" w:rsidRDefault="00C17652" w:rsidP="00C17652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>- место отдыха -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водный объект или его часть и территория, прилегающая к водному объекту, </w:t>
      </w: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используемые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для отдыха, туризма, занятий физической культурой и спортом;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водопользователь - физическое лицо или юридическое лицо, которым предоставлено право пользования водным объектом;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  <w:t>- негативное воздействие вод - затопление, подтопление или разрушение берегов водных объектов;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охрана водных объектов - система мероприятий, направленных на сохранение и восстановление водных объектов;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зона рекреации водного объекта - это водный объект или его участок с прилегающим к нему берегом, используемые для массового отдыха населения и купания.</w:t>
      </w:r>
    </w:p>
    <w:p w:rsidR="004F228B" w:rsidRPr="00E55CD2" w:rsidRDefault="00C17652" w:rsidP="00C17652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  <w:t xml:space="preserve">Другие понятия, используемые в Правилах, применяются в том значении, в каком они используются в Водном кодексе Российской Федерации, Национальном стандарте РФ ГОСТ </w:t>
      </w:r>
      <w:proofErr w:type="gramStart"/>
      <w:r>
        <w:rPr>
          <w:rFonts w:ascii="PT Astra Serif" w:hAnsi="PT Astra Serif"/>
        </w:rPr>
        <w:t>Р</w:t>
      </w:r>
      <w:proofErr w:type="gramEnd"/>
      <w:r>
        <w:rPr>
          <w:rFonts w:ascii="PT Astra Serif" w:hAnsi="PT Astra Serif"/>
        </w:rPr>
        <w:t xml:space="preserve"> 57617-2017 «Объекты отдыха, развлечения, культуры и спорта на открытой водной поверхности и их инфраструктура. Термины и определения», Национальном стандарте РФ ГОСТ </w:t>
      </w:r>
      <w:proofErr w:type="gramStart"/>
      <w:r>
        <w:rPr>
          <w:rFonts w:ascii="PT Astra Serif" w:hAnsi="PT Astra Serif"/>
        </w:rPr>
        <w:t>Р</w:t>
      </w:r>
      <w:proofErr w:type="gramEnd"/>
      <w:r>
        <w:rPr>
          <w:rFonts w:ascii="PT Astra Serif" w:hAnsi="PT Astra Serif"/>
        </w:rPr>
        <w:t xml:space="preserve"> 58737-2019 «Места отдыха на водных объектах. Общие положения», иных нормативных правовых актах Российской Федерации и Тульской области.</w:t>
      </w:r>
      <w:r w:rsidR="004F228B" w:rsidRPr="00E55CD2">
        <w:rPr>
          <w:rFonts w:ascii="PT Astra Serif" w:hAnsi="PT Astra Serif"/>
        </w:rPr>
        <w:t xml:space="preserve"> </w:t>
      </w:r>
    </w:p>
    <w:p w:rsidR="0082160C" w:rsidRPr="002A5B15" w:rsidRDefault="00614450" w:rsidP="00A65604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2A5B15">
        <w:rPr>
          <w:rFonts w:ascii="PT Astra Serif" w:hAnsi="PT Astra Serif"/>
          <w:b/>
        </w:rPr>
        <w:t>Т</w:t>
      </w:r>
      <w:r w:rsidR="0082160C" w:rsidRPr="002A5B15">
        <w:rPr>
          <w:rFonts w:ascii="PT Astra Serif" w:hAnsi="PT Astra Serif"/>
          <w:b/>
        </w:rPr>
        <w:t xml:space="preserve">ребования к </w:t>
      </w:r>
      <w:r w:rsidR="00C17652">
        <w:rPr>
          <w:rFonts w:ascii="PT Astra Serif" w:hAnsi="PT Astra Serif"/>
          <w:b/>
        </w:rPr>
        <w:t xml:space="preserve">определению водных объектов </w:t>
      </w:r>
      <w:r w:rsidR="00C17652" w:rsidRPr="00C17652">
        <w:rPr>
          <w:rFonts w:ascii="PT Astra Serif" w:hAnsi="PT Astra Serif"/>
          <w:b/>
        </w:rPr>
        <w:t>или их частей, предназначенных для использования в рекреационных целях</w:t>
      </w:r>
    </w:p>
    <w:p w:rsidR="00C17652" w:rsidRDefault="00C17652" w:rsidP="00C176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2.1. В соответствии с требованиями статьи 18 Федерального закона от </w:t>
      </w:r>
      <w:r>
        <w:rPr>
          <w:rFonts w:ascii="PT Astra Serif" w:hAnsi="PT Astra Serif" w:cs="Times New Roman"/>
          <w:sz w:val="28"/>
          <w:szCs w:val="28"/>
        </w:rPr>
        <w:br/>
        <w:t xml:space="preserve">30 марта 1999 года № 52-ФЗ «О санитарно-эпидемиологическом благополучии населения» водные объекты, предназначенные для использования в рекреационных целях, должны соответствовать критериям безопасности и (или) безвредности для человека, установленным санитарными правилами. Не должны являться источниками биологических, химических и физических факторов вредного воздействия на человека. 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2.2. Водные объекты или их части, предназначенные для использования в рекреационных целях, определяются правовым актом администрации </w:t>
      </w:r>
      <w:r w:rsidR="00A9073C">
        <w:rPr>
          <w:rFonts w:ascii="PT Astra Serif" w:hAnsi="PT Astra Serif"/>
          <w:sz w:val="28"/>
          <w:szCs w:val="28"/>
        </w:rPr>
        <w:t>города Тулы</w:t>
      </w:r>
      <w:r>
        <w:rPr>
          <w:rFonts w:ascii="PT Astra Serif" w:hAnsi="PT Astra Serif"/>
          <w:sz w:val="28"/>
          <w:szCs w:val="28"/>
        </w:rPr>
        <w:t xml:space="preserve">  в соответствии с действующим законодательством, исходя из физических характеристик водного объекта (его части) и прилегающей территории, обеспечивающих их безопасное использование в рекреационных целях, в том числе:</w:t>
      </w:r>
    </w:p>
    <w:p w:rsidR="00C17652" w:rsidRDefault="00C17652" w:rsidP="00C17652">
      <w:pPr>
        <w:pStyle w:val="ConsPlusNormal"/>
        <w:ind w:firstLine="539"/>
        <w:jc w:val="both"/>
      </w:pPr>
      <w:r>
        <w:rPr>
          <w:rFonts w:ascii="PT Astra Serif" w:hAnsi="PT Astra Serif"/>
          <w:sz w:val="28"/>
          <w:szCs w:val="28"/>
        </w:rPr>
        <w:tab/>
        <w:t>- соответствие качества воды водного объекта (его части) и состояния прилегающей территории санитарным требованиям;</w:t>
      </w:r>
    </w:p>
    <w:p w:rsidR="00C17652" w:rsidRDefault="00C17652" w:rsidP="00C17652">
      <w:pPr>
        <w:pStyle w:val="ConsPlusNormal"/>
        <w:ind w:firstLine="540"/>
        <w:jc w:val="both"/>
      </w:pPr>
      <w:r>
        <w:rPr>
          <w:rFonts w:ascii="PT Astra Serif" w:hAnsi="PT Astra Serif"/>
          <w:sz w:val="28"/>
          <w:szCs w:val="28"/>
        </w:rPr>
        <w:tab/>
        <w:t>- наличие или возможность устройства удобных и безопасных подходов к водному объекту;</w:t>
      </w:r>
    </w:p>
    <w:p w:rsidR="00C17652" w:rsidRDefault="00C17652" w:rsidP="00C17652">
      <w:pPr>
        <w:pStyle w:val="ConsPlusNormal"/>
        <w:ind w:firstLine="540"/>
        <w:jc w:val="both"/>
      </w:pPr>
      <w:r>
        <w:rPr>
          <w:rFonts w:ascii="PT Astra Serif" w:hAnsi="PT Astra Serif"/>
          <w:sz w:val="28"/>
          <w:szCs w:val="28"/>
        </w:rPr>
        <w:tab/>
        <w:t>- наличие подъездных (пешеходных) путей к зоне рекреации водного объекта;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безопасный рельеф дна водного объекта (отсутствие ям, зарослей водных растений, острых камней, иловых отложений и пр.);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благоприятный гидрологический режим (отсутствие выхода грунтовых вод, водоворота, воронок и течения более 0,5 метра в секунду, резких колебаний уровня воды);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отсутствие возможности неблагоприятных и опасных процессов (оползней, обвалов, селей, лавин);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удаленность от источников загрязнения (ме</w:t>
      </w:r>
      <w:proofErr w:type="gramStart"/>
      <w:r>
        <w:rPr>
          <w:rFonts w:ascii="PT Astra Serif" w:hAnsi="PT Astra Serif"/>
          <w:sz w:val="28"/>
          <w:szCs w:val="28"/>
        </w:rPr>
        <w:t>ст сбр</w:t>
      </w:r>
      <w:proofErr w:type="gramEnd"/>
      <w:r>
        <w:rPr>
          <w:rFonts w:ascii="PT Astra Serif" w:hAnsi="PT Astra Serif"/>
          <w:sz w:val="28"/>
          <w:szCs w:val="28"/>
        </w:rPr>
        <w:t xml:space="preserve">оса сточных вод, </w:t>
      </w:r>
      <w:r>
        <w:rPr>
          <w:rFonts w:ascii="PT Astra Serif" w:hAnsi="PT Astra Serif"/>
          <w:sz w:val="28"/>
          <w:szCs w:val="28"/>
        </w:rPr>
        <w:lastRenderedPageBreak/>
        <w:t>стойбищ и водопоя скота и др.) не менее 500 метров выше по течению от источника загрязнения, если иное не установлено действующим законодательством;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удаленность от гидротехнических сооружений, водосбросных и водозаборных (мелиоративных) устройств не ближе 250 метров выше и 1000 метров ниже таких устройств, если иное не установлено действующим законодательством; 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отсутствие санитарно-защитных зон промышленных предприятий, отсутствие с наветренной стороны источников загрязнения окружающей среды и источников шума.</w:t>
      </w:r>
    </w:p>
    <w:p w:rsidR="00A65604" w:rsidRPr="00D05FD2" w:rsidRDefault="00A93F1F" w:rsidP="00A65604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A93F1F">
        <w:rPr>
          <w:rFonts w:ascii="PT Astra Serif" w:eastAsia="Calibri" w:hAnsi="PT Astra Serif"/>
          <w:b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3.1. Одновременно с определением водных объектов или их частей для использования в рекреационных целях администрацией </w:t>
      </w:r>
      <w:r w:rsidR="00A9073C">
        <w:rPr>
          <w:rFonts w:ascii="PT Astra Serif" w:hAnsi="PT Astra Serif"/>
          <w:sz w:val="28"/>
          <w:szCs w:val="28"/>
        </w:rPr>
        <w:t>города Тулы</w:t>
      </w:r>
      <w:r>
        <w:rPr>
          <w:rFonts w:ascii="PT Astra Serif" w:hAnsi="PT Astra Serif"/>
          <w:sz w:val="28"/>
          <w:szCs w:val="28"/>
        </w:rPr>
        <w:t xml:space="preserve"> определяются зоны отдыха и другие территории, включая пляжи, связанные с использованием водных объектов или их частей для рекреационных целей (далее - зоны отдыха).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3.2. Определение зон отдыха осуществляется администрацией город Тула, в том числе по инициативе заинтересованных лиц, с учетом категории и видов разрешенного использования земель, на которых они расположены, соответствия водных объектов (их частей) и прилегающей территории положениям </w:t>
      </w:r>
      <w:hyperlink w:anchor="Par52" w:tgtFrame="2.1. Определение водных объектов или их частей для использования в рекреационных целях осуществляется правовым актом администрации Бондарского муниципального округа, исходя из физических характеристик водного объекта (его части) и прилегающей территории, ">
        <w:r>
          <w:rPr>
            <w:rFonts w:ascii="PT Astra Serif" w:hAnsi="PT Astra Serif"/>
            <w:sz w:val="28"/>
            <w:szCs w:val="28"/>
          </w:rPr>
          <w:t>пункта 2.</w:t>
        </w:r>
      </w:hyperlink>
      <w:r>
        <w:rPr>
          <w:rFonts w:ascii="PT Astra Serif" w:hAnsi="PT Astra Serif"/>
          <w:sz w:val="28"/>
          <w:szCs w:val="28"/>
        </w:rPr>
        <w:t>2 настоящих Правил</w:t>
      </w:r>
      <w:bookmarkStart w:id="1" w:name="Par78"/>
      <w:bookmarkEnd w:id="1"/>
      <w:r>
        <w:rPr>
          <w:rFonts w:ascii="PT Astra Serif" w:hAnsi="PT Astra Serif"/>
          <w:sz w:val="28"/>
          <w:szCs w:val="28"/>
        </w:rPr>
        <w:t xml:space="preserve">, а также с учетом требований Национального стандарта РФ ГОСТ </w:t>
      </w:r>
      <w:proofErr w:type="gramStart"/>
      <w:r>
        <w:rPr>
          <w:rFonts w:ascii="PT Astra Serif" w:hAnsi="PT Astra Serif"/>
          <w:sz w:val="28"/>
          <w:szCs w:val="28"/>
        </w:rPr>
        <w:t>Р</w:t>
      </w:r>
      <w:proofErr w:type="gramEnd"/>
      <w:r>
        <w:rPr>
          <w:rFonts w:ascii="PT Astra Serif" w:hAnsi="PT Astra Serif"/>
          <w:sz w:val="28"/>
          <w:szCs w:val="28"/>
        </w:rPr>
        <w:t xml:space="preserve"> 58737-2019 «Места отдыха на водных объектах. Общие положения»</w:t>
      </w:r>
      <w:r w:rsidR="00A9073C">
        <w:rPr>
          <w:rFonts w:ascii="PT Astra Serif" w:hAnsi="PT Astra Serif"/>
          <w:sz w:val="28"/>
          <w:szCs w:val="28"/>
        </w:rPr>
        <w:t>.</w:t>
      </w:r>
    </w:p>
    <w:p w:rsidR="00A93F1F" w:rsidRDefault="00A93F1F" w:rsidP="00A93F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3.3. </w:t>
      </w:r>
      <w:r>
        <w:rPr>
          <w:rFonts w:ascii="PT Astra Serif" w:hAnsi="PT Astra Serif" w:cs="Times New Roman"/>
          <w:sz w:val="28"/>
          <w:szCs w:val="28"/>
        </w:rPr>
        <w:t>Площадь зоны отдыха должна обеспечивать размещение построек, предназначенных для коммунально-бытового обслуживания и обеспечения безопасности отдыхающих (раздевалки, туалеты, пункты для спасателей, места для парковки транспортных средств, места (площадки) накопления твердых коммунальных отходов и т.п.).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3.4. При определении пляжей учитываются требования, установленные действующим законодательством, в том числе, Национальным стандартом РФ ГОСТ </w:t>
      </w:r>
      <w:proofErr w:type="gramStart"/>
      <w:r>
        <w:rPr>
          <w:rFonts w:ascii="PT Astra Serif" w:hAnsi="PT Astra Serif"/>
          <w:sz w:val="28"/>
          <w:szCs w:val="28"/>
        </w:rPr>
        <w:t>Р</w:t>
      </w:r>
      <w:proofErr w:type="gramEnd"/>
      <w:r>
        <w:rPr>
          <w:rFonts w:ascii="PT Astra Serif" w:hAnsi="PT Astra Serif"/>
          <w:sz w:val="28"/>
          <w:szCs w:val="28"/>
        </w:rPr>
        <w:t xml:space="preserve"> 58737-2019 «Места отдыха на водных объектах. </w:t>
      </w:r>
      <w:proofErr w:type="gramStart"/>
      <w:r>
        <w:rPr>
          <w:rFonts w:ascii="PT Astra Serif" w:hAnsi="PT Astra Serif"/>
          <w:sz w:val="28"/>
          <w:szCs w:val="28"/>
        </w:rPr>
        <w:t>Общие положения»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Федерации», постановлением администрации Тульской области от 04.04.2006 № 164 «Об утверждении Правил охраны жизни людей на водных объектах в Тульской области и Правил пользования водными объектами для плавания на маломерных судах в Тульской области».</w:t>
      </w:r>
      <w:proofErr w:type="gramEnd"/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3.5. Все пляжи подлежат учету Центром ГИМС ГУ МЧС России по Тульской области.</w:t>
      </w:r>
    </w:p>
    <w:p w:rsidR="006F1532" w:rsidRPr="00FF0BE8" w:rsidRDefault="00A93F1F" w:rsidP="006F1532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A93F1F">
        <w:rPr>
          <w:rFonts w:ascii="PT Astra Serif" w:hAnsi="PT Astra Serif"/>
          <w:b/>
        </w:rPr>
        <w:t>Требования к срокам открытия и закрытия купального сезона</w:t>
      </w:r>
    </w:p>
    <w:p w:rsidR="00A93F1F" w:rsidRDefault="00A93F1F" w:rsidP="00A93F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4.1. Сроки открытия и закрытия купального сезона, продолжительность работы пляжей и мест массового отдыха устанавливаются правовым актом администрации муниципального образования город Тула, которое публикуется (обнародуется) не менее чем за 10 календарных дней до начала купального сезона.</w:t>
      </w:r>
    </w:p>
    <w:p w:rsidR="00A93F1F" w:rsidRDefault="00A93F1F" w:rsidP="00A93F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4.2. Сроки купального сезона устанавливаются в зависимости от погодных условий, температуры воздуха, с 1 июня по 31 августа.</w:t>
      </w:r>
    </w:p>
    <w:p w:rsidR="00A93F1F" w:rsidRDefault="00A93F1F" w:rsidP="00A93F1F">
      <w:pPr>
        <w:spacing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Сроки купального сезона могут быть изменены в зависимости от температуры воздуха в дневное время. </w:t>
      </w:r>
    </w:p>
    <w:p w:rsidR="00A93F1F" w:rsidRPr="00A93F1F" w:rsidRDefault="00A93F1F" w:rsidP="00A93F1F">
      <w:pPr>
        <w:pStyle w:val="a3"/>
        <w:numPr>
          <w:ilvl w:val="0"/>
          <w:numId w:val="3"/>
        </w:numPr>
        <w:spacing w:line="240" w:lineRule="auto"/>
        <w:ind w:left="0"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A93F1F">
        <w:rPr>
          <w:rFonts w:ascii="PT Astra Serif" w:eastAsia="Calibri" w:hAnsi="PT Astra Serif" w:cs="Times New Roman"/>
          <w:b/>
          <w:sz w:val="28"/>
          <w:szCs w:val="28"/>
        </w:rPr>
        <w:t>Порядок проведения мероприятий, связанных с использованием водных объектов или их частей для рекреационных целей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5.1. Использование водного объекта или его части в рекреационных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использования водного объекта для здоровья населения.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5.2. Владельцы пляжей обеспечивают проведение мероприятий, связанных с использованием водного объекта (его части) для рекреационных целей, в порядке и в сроки, предусмотренные действующим законодательством, в том числе: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gramStart"/>
      <w:r>
        <w:rPr>
          <w:rFonts w:ascii="PT Astra Serif" w:hAnsi="PT Astra Serif"/>
          <w:sz w:val="28"/>
          <w:szCs w:val="28"/>
        </w:rPr>
        <w:t>- обеспечивают проведение водолазного обследования и очистки дна в границах зоны купания от водных растений, коряг, стекла, камней и предметов, создающих угрозу жизни и здоровью посетителей, постановку пляжа на учет, выполнение иных мероприятий, предусмотренных Правилами пользования пляжами в Российской Федерации, утвержденными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</w:t>
      </w:r>
      <w:proofErr w:type="gramEnd"/>
      <w:r>
        <w:rPr>
          <w:rFonts w:ascii="PT Astra Serif" w:hAnsi="PT Astra Serif"/>
          <w:sz w:val="28"/>
          <w:szCs w:val="28"/>
        </w:rPr>
        <w:t xml:space="preserve"> Правил пользования пляжами в Российской Федерации» (при организации пляжа);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обеспечивают получение санитарно-эпидемиологического заключения о возможности использования водного объекта (его части) в рекреационных целях, а также проведение иных мероприятий, предусмотренных законодательством о санитарно-эпидемиологическом благополучии населения;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осуществляют проведение наблюдений и измерений, предусмотренных договором водопользования (при наличии заключенного договора водопользования);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реализуют мероприятия по благоустройству зон отдыха с учетом требований водного, земельного, градостроительного законодательства, законодательства в области санитарно-эпидемиологического благополучия населения и в области осуществления туристской деятельности;</w:t>
      </w:r>
    </w:p>
    <w:p w:rsidR="0088059B" w:rsidRDefault="00A93F1F" w:rsidP="00A93F1F">
      <w:pPr>
        <w:pStyle w:val="a4"/>
        <w:spacing w:after="240"/>
        <w:ind w:right="3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  <w:t>- обеспечивают проведение мероприятий по охране водных объектов.</w:t>
      </w:r>
    </w:p>
    <w:p w:rsidR="00A93F1F" w:rsidRDefault="00A93F1F" w:rsidP="00A93F1F">
      <w:pPr>
        <w:pStyle w:val="a4"/>
        <w:spacing w:after="240"/>
        <w:ind w:right="3"/>
        <w:jc w:val="center"/>
        <w:rPr>
          <w:rFonts w:ascii="PT Astra Serif" w:eastAsia="Calibri" w:hAnsi="PT Astra Serif"/>
          <w:b/>
        </w:rPr>
      </w:pPr>
      <w:r w:rsidRPr="00A93F1F">
        <w:rPr>
          <w:rFonts w:ascii="PT Astra Serif" w:hAnsi="PT Astra Serif"/>
          <w:b/>
          <w:lang w:val="en-US"/>
        </w:rPr>
        <w:t>VI</w:t>
      </w:r>
      <w:r>
        <w:rPr>
          <w:rFonts w:ascii="PT Astra Serif" w:hAnsi="PT Astra Serif"/>
          <w:b/>
        </w:rPr>
        <w:t xml:space="preserve">. </w:t>
      </w:r>
      <w:r w:rsidRPr="00A93F1F">
        <w:rPr>
          <w:rFonts w:ascii="PT Astra Serif" w:eastAsia="Calibri" w:hAnsi="PT Astra Serif"/>
          <w:b/>
        </w:rPr>
        <w:t>Требования к определению зон купания и иных зон, необходимых для осуществления рекреационной деятельности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lastRenderedPageBreak/>
        <w:t xml:space="preserve">6.1. Зоны купания и иные зоны, необходимые для осуществления рекреационной деятельности, определяются и обустраиваются с учетом Национального стандарта РФ ГОСТ </w:t>
      </w:r>
      <w:proofErr w:type="gramStart"/>
      <w:r w:rsidRPr="00A93F1F">
        <w:rPr>
          <w:rFonts w:ascii="PT Astra Serif" w:eastAsia="Calibri" w:hAnsi="PT Astra Serif" w:cs="Times New Roman"/>
          <w:sz w:val="28"/>
          <w:szCs w:val="28"/>
        </w:rPr>
        <w:t>Р</w:t>
      </w:r>
      <w:proofErr w:type="gram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58737-2019 «Места отдыха на водных объектах. Общие положения», утвержденного приказом Федерального агентства по техническому регулированию и метрологии от 10 декабря 2019 года № 1363-ст, Межгосударственного стандарта ГОСТ 17.1.5.02-80 «Охрана природы. Гидросфера. Гигиенические требования к зонам рекреации водных объектов», введённого в действие постановлением Госстандарта СССР от </w:t>
      </w:r>
      <w:r w:rsidRPr="00A93F1F">
        <w:rPr>
          <w:rFonts w:ascii="PT Astra Serif" w:eastAsia="Calibri" w:hAnsi="PT Astra Serif" w:cs="Times New Roman"/>
          <w:sz w:val="28"/>
          <w:szCs w:val="28"/>
        </w:rPr>
        <w:br/>
        <w:t xml:space="preserve">25 декабря 1980 года № 5976, Национального стандарта РФ ГОСТ </w:t>
      </w:r>
      <w:proofErr w:type="gramStart"/>
      <w:r w:rsidRPr="00A93F1F">
        <w:rPr>
          <w:rFonts w:ascii="PT Astra Serif" w:eastAsia="Calibri" w:hAnsi="PT Astra Serif" w:cs="Times New Roman"/>
          <w:sz w:val="28"/>
          <w:szCs w:val="28"/>
        </w:rPr>
        <w:t>Р</w:t>
      </w:r>
      <w:proofErr w:type="gram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57617-2017 «Объекты отдыха, развлечения, культуры и спорта на открытой водной поверхности и их инфраструктура. Термины и определения», утвержденного приказом Федерального агентства по техническому регулированию и метрологии от 17 августа 2017 года № 913-ст, Национального стандарта РФ ГОСТ </w:t>
      </w:r>
      <w:proofErr w:type="gramStart"/>
      <w:r w:rsidRPr="00A93F1F">
        <w:rPr>
          <w:rFonts w:ascii="PT Astra Serif" w:eastAsia="Calibri" w:hAnsi="PT Astra Serif" w:cs="Times New Roman"/>
          <w:sz w:val="28"/>
          <w:szCs w:val="28"/>
        </w:rPr>
        <w:t>Р</w:t>
      </w:r>
      <w:proofErr w:type="gram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55698-2013 «Туристские услуги. Услуги пляжей. </w:t>
      </w:r>
      <w:proofErr w:type="gramStart"/>
      <w:r w:rsidRPr="00A93F1F">
        <w:rPr>
          <w:rFonts w:ascii="PT Astra Serif" w:eastAsia="Calibri" w:hAnsi="PT Astra Serif" w:cs="Times New Roman"/>
          <w:sz w:val="28"/>
          <w:szCs w:val="28"/>
        </w:rPr>
        <w:t>Общие требования», утвержденного приказом Федерального агентства по техническому регулированию и метрологии от 8 ноября 2013 года № 1345-ст, Приказа МЧС России от 30 сентября 2020 года № 732 «Об утверждении Правил пользования пляжами в Российской Федерации»,</w:t>
      </w:r>
      <w:r w:rsidRPr="00A93F1F">
        <w:rPr>
          <w:rFonts w:ascii="PT Astra Serif" w:eastAsia="Calibri" w:hAnsi="PT Astra Serif" w:cs="Calibri"/>
          <w:sz w:val="28"/>
          <w:szCs w:val="28"/>
        </w:rPr>
        <w:t xml:space="preserve"> постановлением администрации Тульской области от 04.04.2006 № 164 «Об утверждении Правил охраны жизни людей на водных объектах в Тульской области и Правил пользования водными объектами для плавания</w:t>
      </w:r>
      <w:proofErr w:type="gramEnd"/>
      <w:r w:rsidRPr="00A93F1F">
        <w:rPr>
          <w:rFonts w:ascii="PT Astra Serif" w:eastAsia="Calibri" w:hAnsi="PT Astra Serif" w:cs="Calibri"/>
          <w:sz w:val="28"/>
          <w:szCs w:val="28"/>
        </w:rPr>
        <w:t xml:space="preserve"> на маломерных судах в Тульской области», </w:t>
      </w:r>
      <w:r w:rsidRPr="00A93F1F">
        <w:rPr>
          <w:rFonts w:ascii="PT Astra Serif" w:eastAsia="Calibri" w:hAnsi="PT Astra Serif" w:cs="Times New Roman"/>
          <w:sz w:val="28"/>
          <w:szCs w:val="28"/>
        </w:rPr>
        <w:t xml:space="preserve"> а также иных нормативных правовых актов.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6.2. Площадь водного зеркала в месте купания при проточном водотоке должна обеспечивать не менее 5 кв. м на одного купающегося, а на непроточном водоеме - в 2 - 3 раза больше. На каждого человека должно приходиться не менее 2 кв. м площади пляжа.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6.3. В местах, отведенных для купания, не должно быть выхода грунтовых вод, водоворота, воронок и течения, превышающего 0,5 м в секунду.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6.4. Границы плавания в местах купания обозначаются буйками оранжевого цвета, расположенными на расстоянии 25 - 30 м один от другого и до 25 м от ме</w:t>
      </w:r>
      <w:proofErr w:type="gram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ст с гл</w:t>
      </w:r>
      <w:proofErr w:type="gram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убиной 1,3 м.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Calibri" w:eastAsia="Calibri" w:hAnsi="Calibri" w:cs="Calibri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Не допускается использовать для обозначения границы зоны купания предметы, которые могут быть похожи на плавающий бытовой мусор (в частности, бутылки, канистры).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6.5. В зоне рекреации водного объекта отводятся участки для купания не умеющих плавать с глубиной не более 1,2 м. Участки обозначаются линией поплавков, закрепленных на тросах, или ограждаются </w:t>
      </w:r>
      <w:proofErr w:type="spell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штакетным</w:t>
      </w:r>
      <w:proofErr w:type="spell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забором.</w:t>
      </w:r>
    </w:p>
    <w:p w:rsidR="00A93F1F" w:rsidRPr="00A93F1F" w:rsidRDefault="00A93F1F" w:rsidP="009136AE">
      <w:pPr>
        <w:suppressAutoHyphens/>
        <w:spacing w:after="0" w:line="240" w:lineRule="auto"/>
        <w:ind w:firstLine="539"/>
        <w:jc w:val="both"/>
        <w:rPr>
          <w:rFonts w:ascii="Calibri" w:eastAsia="Calibri" w:hAnsi="Calibri" w:cs="Calibri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6.6. </w:t>
      </w:r>
      <w:proofErr w:type="gram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Купание должно ограничиваться владельцем пляжа с применением сигнального флага желтого цвета, информирующего об опасности нахождения в воде лиц, не имеющих навыков плавания, людей, имеющих хронические заболевания, и детей, а также запрещаться с применением сигнального флага красного (черного) цвета, информирующего об опасности нахождения людей в воде, в установленных</w:t>
      </w:r>
      <w:r w:rsidRPr="00A93F1F">
        <w:rPr>
          <w:rFonts w:ascii="PT Astra Serif" w:eastAsia="Calibri" w:hAnsi="PT Astra Serif" w:cs="Times New Roman"/>
          <w:sz w:val="28"/>
          <w:szCs w:val="28"/>
        </w:rPr>
        <w:t xml:space="preserve"> Правилами пользования пляжами в Российской </w:t>
      </w:r>
      <w:r w:rsidRPr="00A93F1F">
        <w:rPr>
          <w:rFonts w:ascii="PT Astra Serif" w:eastAsia="Calibri" w:hAnsi="PT Astra Serif" w:cs="Times New Roman"/>
          <w:sz w:val="28"/>
          <w:szCs w:val="28"/>
        </w:rPr>
        <w:lastRenderedPageBreak/>
        <w:t>Федерации, утвержденными Приказом МЧС России от 30 сентября</w:t>
      </w:r>
      <w:proofErr w:type="gram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2020 года № 732.</w:t>
      </w:r>
    </w:p>
    <w:p w:rsidR="00A93F1F" w:rsidRPr="00A93F1F" w:rsidRDefault="00A93F1F" w:rsidP="009136AE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6.6. При отсутствии естественных участков с приглубыми</w:t>
      </w:r>
      <w:r w:rsidRPr="00A93F1F">
        <w:rPr>
          <w:rFonts w:ascii="PT Astra Serif" w:eastAsia="Times New Roman" w:hAnsi="PT Astra Serif" w:cs="Times New Roman"/>
          <w:sz w:val="52"/>
          <w:szCs w:val="52"/>
          <w:lang w:eastAsia="ru-RU"/>
        </w:rPr>
        <w:t xml:space="preserve"> 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берегами в местах с глубинами, обеспечивающими безопасность при нырянии, оборудуются деревянные мостки или плоты для прыжков в воду. </w:t>
      </w:r>
    </w:p>
    <w:p w:rsidR="00A93F1F" w:rsidRPr="00A93F1F" w:rsidRDefault="00A93F1F" w:rsidP="00A93F1F">
      <w:pPr>
        <w:pStyle w:val="a4"/>
        <w:spacing w:before="240" w:after="240"/>
        <w:ind w:right="3"/>
        <w:jc w:val="center"/>
        <w:rPr>
          <w:b/>
        </w:rPr>
      </w:pPr>
      <w:r>
        <w:rPr>
          <w:b/>
          <w:lang w:val="en-US"/>
        </w:rPr>
        <w:t>VII</w:t>
      </w:r>
      <w:r>
        <w:rPr>
          <w:b/>
        </w:rPr>
        <w:t xml:space="preserve">. </w:t>
      </w:r>
      <w:r w:rsidRPr="00A93F1F">
        <w:rPr>
          <w:rFonts w:ascii="PT Astra Serif" w:eastAsia="Calibri" w:hAnsi="PT Astra Serif"/>
          <w:b/>
        </w:rPr>
        <w:t>Требования к охране водных объектов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 xml:space="preserve">7.1. </w:t>
      </w:r>
      <w:proofErr w:type="gramStart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Использование водных объектов осуществляется в соответствии со статьями 50, 55, 56, 65 Водного кодекса Российской Федерации, 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статьей 18 Федерального закона от 30 марта 1999 года № 52-ФЗ «</w:t>
      </w:r>
      <w:r w:rsidRPr="00A93F1F">
        <w:rPr>
          <w:rFonts w:ascii="PT Astra Serif" w:eastAsia="Calibri" w:hAnsi="PT Astra Serif" w:cs="Times New Roman"/>
          <w:sz w:val="28"/>
          <w:szCs w:val="28"/>
        </w:rPr>
        <w:t>О санитарно-эпидемиологическом благополучии населения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», Правилами охраны поверхностных водных объектов, утвержденными постановлением Правительства Российской Федерации от 10 сентября 2020 года № 1391</w:t>
      </w:r>
      <w:r w:rsidRPr="00A93F1F">
        <w:rPr>
          <w:rFonts w:ascii="PT Astra Serif" w:eastAsia="Calibri" w:hAnsi="PT Astra Serif" w:cs="Times New Roman"/>
          <w:sz w:val="28"/>
          <w:szCs w:val="28"/>
        </w:rPr>
        <w:t xml:space="preserve">, 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санитарными правилами и нормами СанПиН </w:t>
      </w:r>
      <w:r w:rsidRPr="00A93F1F">
        <w:rPr>
          <w:rFonts w:ascii="PT Astra Serif" w:eastAsia="Calibri" w:hAnsi="PT Astra Serif" w:cs="Times New Roman"/>
          <w:sz w:val="28"/>
          <w:szCs w:val="28"/>
        </w:rPr>
        <w:t>2.1.3684-21 «Санитарно-эпидемиологические требования к содержанию территорий городских и</w:t>
      </w:r>
      <w:proofErr w:type="gram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</w:t>
      </w:r>
      <w:proofErr w:type="gramStart"/>
      <w:r w:rsidRPr="00A93F1F">
        <w:rPr>
          <w:rFonts w:ascii="PT Astra Serif" w:eastAsia="Calibri" w:hAnsi="PT Astra Serif" w:cs="Times New Roman"/>
          <w:sz w:val="28"/>
          <w:szCs w:val="28"/>
        </w:rPr>
        <w:t>утвержденными</w:t>
      </w:r>
      <w:proofErr w:type="gram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постановлением Главного государственного санитарного врача Российской Федерации от 28.01.2021 № 3.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 xml:space="preserve">7.2. Мероприятия по охране водных объектов осуществляются с соблюдением требований водного законодательства, законодательства в области охраны окружающей среды, законодательства о рыболовстве и сохранении водных биологических ресурсов, законодательства в области обеспечения </w:t>
      </w:r>
      <w:proofErr w:type="spellStart"/>
      <w:r w:rsidRPr="00A93F1F">
        <w:rPr>
          <w:rFonts w:ascii="PT Astra Serif" w:eastAsia="Calibri" w:hAnsi="PT Astra Serif" w:cs="Times New Roman"/>
          <w:sz w:val="28"/>
          <w:szCs w:val="28"/>
        </w:rPr>
        <w:t>санитарно</w:t>
      </w:r>
      <w:proofErr w:type="spell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– эпидемиологического благополучия населения.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7.3.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7.4. Мероприятия по охране водного объекта водопользователем осуществляются в соответствии с условиями договора водопользования.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7.5. При использовании водных объектов запрещается: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 xml:space="preserve">-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механизмов); 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 xml:space="preserve">- захоронение в водных объектах ядерных материалов, радиоактивных веществ; 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 xml:space="preserve">- сброс в водные объекты сточных вод, содержание в которых радиоактивных веществ, пестицидов, </w:t>
      </w:r>
      <w:proofErr w:type="spellStart"/>
      <w:r w:rsidRPr="00A93F1F">
        <w:rPr>
          <w:rFonts w:ascii="PT Astra Serif" w:eastAsia="Calibri" w:hAnsi="PT Astra Serif" w:cs="Times New Roman"/>
          <w:sz w:val="28"/>
          <w:szCs w:val="28"/>
        </w:rPr>
        <w:t>агрохимикатов</w:t>
      </w:r>
      <w:proofErr w:type="spell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и других опасных для здоровья человека веществ и соединений превышает нормативы допустимого воздействия на водные объекты; 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lastRenderedPageBreak/>
        <w:t xml:space="preserve">- 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 w:rsidRPr="00A93F1F">
        <w:rPr>
          <w:rFonts w:ascii="PT Astra Serif" w:eastAsia="Calibri" w:hAnsi="PT Astra Serif" w:cs="Times New Roman"/>
          <w:sz w:val="28"/>
          <w:szCs w:val="28"/>
        </w:rPr>
        <w:t>водоохранной</w:t>
      </w:r>
      <w:proofErr w:type="spell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зоне водного объекта;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- использовать моющие и стиральные средства, стирать белье, осуществлять мытье автотранспорта и животных.</w:t>
      </w:r>
    </w:p>
    <w:p w:rsidR="0088059B" w:rsidRDefault="00A93F1F" w:rsidP="00870C79">
      <w:pPr>
        <w:pStyle w:val="a4"/>
        <w:spacing w:before="240" w:after="240"/>
        <w:ind w:right="3"/>
        <w:jc w:val="center"/>
        <w:rPr>
          <w:rFonts w:ascii="PT Astra Serif" w:eastAsia="Calibri" w:hAnsi="PT Astra Serif"/>
          <w:b/>
        </w:rPr>
      </w:pPr>
      <w:r w:rsidRPr="00A93F1F">
        <w:rPr>
          <w:b/>
          <w:lang w:val="en-US"/>
        </w:rPr>
        <w:t>VIII</w:t>
      </w:r>
      <w:r w:rsidRPr="00A93F1F">
        <w:rPr>
          <w:b/>
        </w:rPr>
        <w:t>.</w:t>
      </w:r>
      <w:r>
        <w:rPr>
          <w:b/>
        </w:rPr>
        <w:t xml:space="preserve"> </w:t>
      </w:r>
      <w:r w:rsidRPr="00A93F1F">
        <w:rPr>
          <w:rFonts w:ascii="PT Astra Serif" w:eastAsia="Calibri" w:hAnsi="PT Astra Serif"/>
          <w:b/>
        </w:rPr>
        <w:t>Иные требования, необходимые для использования и охраны водных объектов или их частей для рекреационных целей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8.1. В целях охраны жизни и здоровья людей на пляжах владелец пляжа обязан обеспечить информирование посетителей о возможности купания и безопасного пользования пляжем путем установки сигнальных флагов, звукового оповещения, установки знаков безопасности и размещения информации на информационных стендах: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о режиме работы пляжа, его владельце, обслуживающей организации и их реквизитах, телефонах;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о приемах оказания первой помощи людям и мерах по профилактике несчастных случаев с людьми на воде;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о прогнозе погоды на текущую дату, температуре воды и воздуха;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о схеме пляжа и зоны купания с указанием опасных мест и глубин, мест расположения спасателей;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о номерах телефонов подразделений аварийно-спасательных служб или формирований, скорой медицинской помощи и полиции.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8.2. Работники спасательных станций и постов, водопользователи проводят на пляжах и в других местах массового отдыха разъяснительную работу по предупреждению несчастных случаев с людьми на воде с использованием радиотрансляционных установок, стендов, фотовитрин с профилактическими материалами.</w:t>
      </w:r>
    </w:p>
    <w:p w:rsidR="00A93F1F" w:rsidRPr="00A93F1F" w:rsidRDefault="00A93F1F" w:rsidP="00A93F1F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8.3. Владелец пляжа в целях предупреждения несчастных случаев и оказания помощи людям, терпящим бедствие на воде, организует работу спасательного поста с дежурством спасателей или матросов-спасателей (далее - спасатели) в установленное время работы пляжа независимо от наличия запрета на купание.</w:t>
      </w:r>
    </w:p>
    <w:p w:rsidR="00A93F1F" w:rsidRPr="00A93F1F" w:rsidRDefault="00A93F1F" w:rsidP="00A93F1F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Пост должен обеспечивать обозрение всей зоны купания спасателями и их реагирование на происшествия, которые могут привести к гибели или </w:t>
      </w:r>
      <w:proofErr w:type="spell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травмированию</w:t>
      </w:r>
      <w:proofErr w:type="spell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посетителей пляжа.</w:t>
      </w:r>
    </w:p>
    <w:p w:rsidR="00A93F1F" w:rsidRPr="00A93F1F" w:rsidRDefault="00A93F1F" w:rsidP="00A93F1F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Используемые на посту спасательные средства должны быть промышленного изготовления и должны быть сертифицированы. </w:t>
      </w:r>
    </w:p>
    <w:p w:rsidR="00A93F1F" w:rsidRPr="00A93F1F" w:rsidRDefault="00A93F1F" w:rsidP="00A93F1F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В обязанности спасателей входит постоянный </w:t>
      </w:r>
      <w:proofErr w:type="gram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контроль за</w:t>
      </w:r>
      <w:proofErr w:type="gram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безопасностью посетителей пляжа и предупреждение случаев нарушения требований главы IV </w:t>
      </w:r>
      <w:r w:rsidRPr="00A93F1F">
        <w:rPr>
          <w:rFonts w:ascii="PT Astra Serif" w:eastAsia="Calibri" w:hAnsi="PT Astra Serif" w:cs="Calibri"/>
          <w:sz w:val="28"/>
          <w:szCs w:val="28"/>
        </w:rPr>
        <w:t>Правил пользования пляжами в Российской Федерации,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Федерации».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lastRenderedPageBreak/>
        <w:t xml:space="preserve">8.4. Места отдыха должны быть обеспечены питьевой водой. 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 xml:space="preserve">8.5. На территориях мест отдыха размещаются общественные туалеты. 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Места отдыха должны быть оборудованы местами (площадками) для накопления твердых коммунальных отходов и, при необходимости, урнами.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Обустройство мест отдыха осуществляется в соответствии с требованиями санитарно-эпидемиологического законодательства, а также с учетом нормативных правовых актов Российской Федерации и Тульской области.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 xml:space="preserve">8.6. 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На пляжах и других местах массового отдыха на водных объектах запрещается: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- купаться при подъеме красного (черного) флага, означающего, что купание запрещено;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купаться за пределами установленного режима работы пляжа;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купаться в местах, где выставлены щиты (аншлаги) с предупреждающими и запрещающими знаками безопасности;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заплывать за буйки, обозначающие границы зоны купания;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подплывать к моторным, парусным судам, весельным лодкам и другим </w:t>
      </w:r>
      <w:proofErr w:type="spell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плавсредствам</w:t>
      </w:r>
      <w:proofErr w:type="spell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прыгать с не приспособленных для этих целей сооружений в воду;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</w:t>
      </w:r>
      <w:proofErr w:type="gram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загрязнять и засорять</w:t>
      </w:r>
      <w:proofErr w:type="gram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зону купания и территорию пляжа;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купаться в состоянии опьянения (алкогольного, наркотического и др.);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срывать или притапливать буйки, менять местоположение ограждений, обозначающих границы зоны купания, прыгать в воду с не приспособленных для этих целей сооружений;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приводить с собой на пляж животных, за исключением собак-поводырей;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играть в спортивные игры в не отведенных для этих целей местах, а также допускать действия на воде, связанные с подбрасыванием, нырянием и захватом купающихся;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плавать на предметах (средствах), не предназначенных для плавания (в том числе досках, бревнах, лежаках);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спуск в воду и движение маломерных судов в зоне купания (за исключением спасательных судов);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приближаться на водных мотоциклах (гидроциклах) ближе 50 метров к ограждению границ заплыва на пляжах и других мест купания;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подавать ложные сигналы тревоги;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оставлять без присмотра детей независимо от наличия у них навыков плавания;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- въезд на территорию и мойка автомашин, стирка белья и купание животных. 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8.7. Лица, виновные в нарушении требований настоящих Правил, несут ответственность в случаях и порядке, установленных действующим законодательством.</w:t>
      </w:r>
    </w:p>
    <w:p w:rsidR="0088059B" w:rsidRPr="0088059B" w:rsidRDefault="0088059B" w:rsidP="0088059B">
      <w:pPr>
        <w:pStyle w:val="a4"/>
        <w:ind w:right="3"/>
        <w:jc w:val="center"/>
        <w:rPr>
          <w:b/>
        </w:rPr>
      </w:pPr>
      <w:r>
        <w:rPr>
          <w:b/>
        </w:rPr>
        <w:t>____________________________________</w:t>
      </w:r>
    </w:p>
    <w:p w:rsidR="003A41DF" w:rsidRDefault="003A41DF" w:rsidP="00870C79">
      <w:pPr>
        <w:pStyle w:val="ConsPlusNormal"/>
        <w:jc w:val="right"/>
      </w:pPr>
    </w:p>
    <w:sectPr w:rsidR="003A41DF" w:rsidSect="000E3CD7">
      <w:headerReference w:type="default" r:id="rId8"/>
      <w:pgSz w:w="11910" w:h="16840"/>
      <w:pgMar w:top="1134" w:right="567" w:bottom="1134" w:left="17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24C" w:rsidRDefault="0091624C" w:rsidP="0049354A">
      <w:pPr>
        <w:spacing w:after="0" w:line="240" w:lineRule="auto"/>
      </w:pPr>
      <w:r>
        <w:separator/>
      </w:r>
    </w:p>
  </w:endnote>
  <w:endnote w:type="continuationSeparator" w:id="0">
    <w:p w:rsidR="0091624C" w:rsidRDefault="0091624C" w:rsidP="0049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24C" w:rsidRDefault="0091624C" w:rsidP="0049354A">
      <w:pPr>
        <w:spacing w:after="0" w:line="240" w:lineRule="auto"/>
      </w:pPr>
      <w:r>
        <w:separator/>
      </w:r>
    </w:p>
  </w:footnote>
  <w:footnote w:type="continuationSeparator" w:id="0">
    <w:p w:rsidR="0091624C" w:rsidRDefault="0091624C" w:rsidP="0049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6554823"/>
      <w:docPartObj>
        <w:docPartGallery w:val="Page Numbers (Top of Page)"/>
        <w:docPartUnique/>
      </w:docPartObj>
    </w:sdtPr>
    <w:sdtEndPr/>
    <w:sdtContent>
      <w:p w:rsidR="008D0315" w:rsidRDefault="008D03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721">
          <w:rPr>
            <w:noProof/>
          </w:rPr>
          <w:t>2</w:t>
        </w:r>
        <w:r>
          <w:fldChar w:fldCharType="end"/>
        </w:r>
      </w:p>
    </w:sdtContent>
  </w:sdt>
  <w:p w:rsidR="008D0315" w:rsidRDefault="008D03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3679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1">
    <w:nsid w:val="083D4980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2487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">
    <w:nsid w:val="14232AB6"/>
    <w:multiLevelType w:val="multilevel"/>
    <w:tmpl w:val="877AE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D1D97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4">
    <w:nsid w:val="2DE73D22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1211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5">
    <w:nsid w:val="4F037BE6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313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6">
    <w:nsid w:val="540057E7"/>
    <w:multiLevelType w:val="hybridMultilevel"/>
    <w:tmpl w:val="9CEA2484"/>
    <w:lvl w:ilvl="0" w:tplc="CBE80F8A">
      <w:start w:val="1"/>
      <w:numFmt w:val="decimal"/>
      <w:lvlText w:val="%1."/>
      <w:lvlJc w:val="left"/>
      <w:pPr>
        <w:ind w:left="1153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73" w:hanging="360"/>
      </w:pPr>
    </w:lvl>
    <w:lvl w:ilvl="2" w:tplc="0419001B" w:tentative="1">
      <w:start w:val="1"/>
      <w:numFmt w:val="lowerRoman"/>
      <w:lvlText w:val="%3."/>
      <w:lvlJc w:val="right"/>
      <w:pPr>
        <w:ind w:left="2593" w:hanging="180"/>
      </w:pPr>
    </w:lvl>
    <w:lvl w:ilvl="3" w:tplc="0419000F" w:tentative="1">
      <w:start w:val="1"/>
      <w:numFmt w:val="decimal"/>
      <w:lvlText w:val="%4."/>
      <w:lvlJc w:val="left"/>
      <w:pPr>
        <w:ind w:left="3313" w:hanging="360"/>
      </w:pPr>
    </w:lvl>
    <w:lvl w:ilvl="4" w:tplc="04190019" w:tentative="1">
      <w:start w:val="1"/>
      <w:numFmt w:val="lowerLetter"/>
      <w:lvlText w:val="%5."/>
      <w:lvlJc w:val="left"/>
      <w:pPr>
        <w:ind w:left="4033" w:hanging="360"/>
      </w:pPr>
    </w:lvl>
    <w:lvl w:ilvl="5" w:tplc="0419001B" w:tentative="1">
      <w:start w:val="1"/>
      <w:numFmt w:val="lowerRoman"/>
      <w:lvlText w:val="%6."/>
      <w:lvlJc w:val="right"/>
      <w:pPr>
        <w:ind w:left="4753" w:hanging="180"/>
      </w:pPr>
    </w:lvl>
    <w:lvl w:ilvl="6" w:tplc="0419000F" w:tentative="1">
      <w:start w:val="1"/>
      <w:numFmt w:val="decimal"/>
      <w:lvlText w:val="%7."/>
      <w:lvlJc w:val="left"/>
      <w:pPr>
        <w:ind w:left="5473" w:hanging="360"/>
      </w:pPr>
    </w:lvl>
    <w:lvl w:ilvl="7" w:tplc="04190019" w:tentative="1">
      <w:start w:val="1"/>
      <w:numFmt w:val="lowerLetter"/>
      <w:lvlText w:val="%8."/>
      <w:lvlJc w:val="left"/>
      <w:pPr>
        <w:ind w:left="6193" w:hanging="360"/>
      </w:pPr>
    </w:lvl>
    <w:lvl w:ilvl="8" w:tplc="041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7">
    <w:nsid w:val="56B53680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8">
    <w:nsid w:val="573E2D5E"/>
    <w:multiLevelType w:val="hybridMultilevel"/>
    <w:tmpl w:val="6F6271D8"/>
    <w:lvl w:ilvl="0" w:tplc="AC3039B0">
      <w:start w:val="1"/>
      <w:numFmt w:val="decimal"/>
      <w:suff w:val="space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57FB3"/>
    <w:multiLevelType w:val="hybridMultilevel"/>
    <w:tmpl w:val="AD66A61A"/>
    <w:lvl w:ilvl="0" w:tplc="FF2A81D0">
      <w:start w:val="1"/>
      <w:numFmt w:val="decimal"/>
      <w:lvlText w:val="%1."/>
      <w:lvlJc w:val="left"/>
      <w:pPr>
        <w:ind w:left="70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6F195329"/>
    <w:multiLevelType w:val="hybridMultilevel"/>
    <w:tmpl w:val="DF846C8A"/>
    <w:lvl w:ilvl="0" w:tplc="4350AB58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335A7"/>
    <w:multiLevelType w:val="hybridMultilevel"/>
    <w:tmpl w:val="5B7AAD84"/>
    <w:lvl w:ilvl="0" w:tplc="15F6D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23"/>
    <w:rsid w:val="00000F51"/>
    <w:rsid w:val="00003AD1"/>
    <w:rsid w:val="00004A50"/>
    <w:rsid w:val="0002767C"/>
    <w:rsid w:val="0003184C"/>
    <w:rsid w:val="000341FB"/>
    <w:rsid w:val="00040626"/>
    <w:rsid w:val="00040D3E"/>
    <w:rsid w:val="000444E5"/>
    <w:rsid w:val="0005346D"/>
    <w:rsid w:val="00056D76"/>
    <w:rsid w:val="0005784E"/>
    <w:rsid w:val="000606C8"/>
    <w:rsid w:val="00062AD5"/>
    <w:rsid w:val="0006707B"/>
    <w:rsid w:val="000725E5"/>
    <w:rsid w:val="00082D0D"/>
    <w:rsid w:val="000901AE"/>
    <w:rsid w:val="00090C43"/>
    <w:rsid w:val="000A1CCE"/>
    <w:rsid w:val="000B5721"/>
    <w:rsid w:val="000C34ED"/>
    <w:rsid w:val="000C3D15"/>
    <w:rsid w:val="000C7147"/>
    <w:rsid w:val="000D42F7"/>
    <w:rsid w:val="000D5161"/>
    <w:rsid w:val="000E3CD7"/>
    <w:rsid w:val="000F39DC"/>
    <w:rsid w:val="0011067E"/>
    <w:rsid w:val="00111AC3"/>
    <w:rsid w:val="00121CF2"/>
    <w:rsid w:val="00125347"/>
    <w:rsid w:val="00140EF6"/>
    <w:rsid w:val="0014351E"/>
    <w:rsid w:val="00145EA6"/>
    <w:rsid w:val="00163A1C"/>
    <w:rsid w:val="00173F6A"/>
    <w:rsid w:val="00174160"/>
    <w:rsid w:val="001855DE"/>
    <w:rsid w:val="001902BC"/>
    <w:rsid w:val="001A1A2D"/>
    <w:rsid w:val="001A6373"/>
    <w:rsid w:val="001B5775"/>
    <w:rsid w:val="001B5DA2"/>
    <w:rsid w:val="001B74DB"/>
    <w:rsid w:val="001B7D7A"/>
    <w:rsid w:val="001C3A7F"/>
    <w:rsid w:val="001C51B5"/>
    <w:rsid w:val="001C7EA8"/>
    <w:rsid w:val="001D50EF"/>
    <w:rsid w:val="001D6A19"/>
    <w:rsid w:val="001D7CE7"/>
    <w:rsid w:val="001E4723"/>
    <w:rsid w:val="001F16E8"/>
    <w:rsid w:val="0020234C"/>
    <w:rsid w:val="00202C59"/>
    <w:rsid w:val="0020371D"/>
    <w:rsid w:val="00207353"/>
    <w:rsid w:val="00211FEE"/>
    <w:rsid w:val="00213CA8"/>
    <w:rsid w:val="002203E9"/>
    <w:rsid w:val="0022162A"/>
    <w:rsid w:val="00225121"/>
    <w:rsid w:val="00225C85"/>
    <w:rsid w:val="0022748E"/>
    <w:rsid w:val="0023253F"/>
    <w:rsid w:val="00233AAD"/>
    <w:rsid w:val="00237C91"/>
    <w:rsid w:val="00247578"/>
    <w:rsid w:val="00251112"/>
    <w:rsid w:val="00251EF2"/>
    <w:rsid w:val="002569FE"/>
    <w:rsid w:val="00263560"/>
    <w:rsid w:val="0027583B"/>
    <w:rsid w:val="0028252F"/>
    <w:rsid w:val="00286F81"/>
    <w:rsid w:val="00290BE2"/>
    <w:rsid w:val="00292FC9"/>
    <w:rsid w:val="002936CB"/>
    <w:rsid w:val="002A5B15"/>
    <w:rsid w:val="002B4410"/>
    <w:rsid w:val="002C2866"/>
    <w:rsid w:val="002D074C"/>
    <w:rsid w:val="002D3ABA"/>
    <w:rsid w:val="002E1B8C"/>
    <w:rsid w:val="002E3EAF"/>
    <w:rsid w:val="002F2993"/>
    <w:rsid w:val="00300079"/>
    <w:rsid w:val="00305077"/>
    <w:rsid w:val="003074D6"/>
    <w:rsid w:val="0031045E"/>
    <w:rsid w:val="003243B5"/>
    <w:rsid w:val="00353012"/>
    <w:rsid w:val="0035504C"/>
    <w:rsid w:val="003636E1"/>
    <w:rsid w:val="00364681"/>
    <w:rsid w:val="003717EC"/>
    <w:rsid w:val="00375D05"/>
    <w:rsid w:val="0038233A"/>
    <w:rsid w:val="00396A66"/>
    <w:rsid w:val="00396C1B"/>
    <w:rsid w:val="003A0189"/>
    <w:rsid w:val="003A17A1"/>
    <w:rsid w:val="003A24C8"/>
    <w:rsid w:val="003A3E81"/>
    <w:rsid w:val="003A41DF"/>
    <w:rsid w:val="003B4832"/>
    <w:rsid w:val="003D2533"/>
    <w:rsid w:val="003D2F1E"/>
    <w:rsid w:val="003D5C34"/>
    <w:rsid w:val="003E2BD2"/>
    <w:rsid w:val="003E436D"/>
    <w:rsid w:val="003E7402"/>
    <w:rsid w:val="00400D00"/>
    <w:rsid w:val="004042AD"/>
    <w:rsid w:val="00407964"/>
    <w:rsid w:val="0042049E"/>
    <w:rsid w:val="00423699"/>
    <w:rsid w:val="0042633F"/>
    <w:rsid w:val="00426DC8"/>
    <w:rsid w:val="00433EF7"/>
    <w:rsid w:val="00437FB0"/>
    <w:rsid w:val="0044107A"/>
    <w:rsid w:val="004415F9"/>
    <w:rsid w:val="00443DF1"/>
    <w:rsid w:val="00447F0B"/>
    <w:rsid w:val="00450B68"/>
    <w:rsid w:val="004553CC"/>
    <w:rsid w:val="004558C4"/>
    <w:rsid w:val="00464E58"/>
    <w:rsid w:val="004724A5"/>
    <w:rsid w:val="00474CC8"/>
    <w:rsid w:val="00475663"/>
    <w:rsid w:val="004760DA"/>
    <w:rsid w:val="00484746"/>
    <w:rsid w:val="004875D6"/>
    <w:rsid w:val="004919E6"/>
    <w:rsid w:val="0049354A"/>
    <w:rsid w:val="00494788"/>
    <w:rsid w:val="00495AEF"/>
    <w:rsid w:val="004A5922"/>
    <w:rsid w:val="004B61E2"/>
    <w:rsid w:val="004C43AE"/>
    <w:rsid w:val="004C710E"/>
    <w:rsid w:val="004C7D90"/>
    <w:rsid w:val="004D18A4"/>
    <w:rsid w:val="004E1CCB"/>
    <w:rsid w:val="004E4D2B"/>
    <w:rsid w:val="004E5A5A"/>
    <w:rsid w:val="004F228B"/>
    <w:rsid w:val="005028C3"/>
    <w:rsid w:val="00503CE1"/>
    <w:rsid w:val="00511C7C"/>
    <w:rsid w:val="005127CA"/>
    <w:rsid w:val="00516418"/>
    <w:rsid w:val="005173E6"/>
    <w:rsid w:val="00517D08"/>
    <w:rsid w:val="00532493"/>
    <w:rsid w:val="00532635"/>
    <w:rsid w:val="00532EA7"/>
    <w:rsid w:val="0054323A"/>
    <w:rsid w:val="005443A0"/>
    <w:rsid w:val="0056394F"/>
    <w:rsid w:val="005659EC"/>
    <w:rsid w:val="005724DA"/>
    <w:rsid w:val="00580DA9"/>
    <w:rsid w:val="00582B04"/>
    <w:rsid w:val="00590FE6"/>
    <w:rsid w:val="0059307E"/>
    <w:rsid w:val="005A3A03"/>
    <w:rsid w:val="005A4011"/>
    <w:rsid w:val="005A42FC"/>
    <w:rsid w:val="005A7590"/>
    <w:rsid w:val="005B17D0"/>
    <w:rsid w:val="005B2154"/>
    <w:rsid w:val="005B6E81"/>
    <w:rsid w:val="005C1149"/>
    <w:rsid w:val="005C1B7F"/>
    <w:rsid w:val="005C6E0E"/>
    <w:rsid w:val="005D5A18"/>
    <w:rsid w:val="005E0351"/>
    <w:rsid w:val="005F4CBE"/>
    <w:rsid w:val="006037B1"/>
    <w:rsid w:val="006038C4"/>
    <w:rsid w:val="00604C1A"/>
    <w:rsid w:val="006058D4"/>
    <w:rsid w:val="00612385"/>
    <w:rsid w:val="00614450"/>
    <w:rsid w:val="006211C8"/>
    <w:rsid w:val="0063137E"/>
    <w:rsid w:val="00634079"/>
    <w:rsid w:val="0064311D"/>
    <w:rsid w:val="00646CC1"/>
    <w:rsid w:val="00657F75"/>
    <w:rsid w:val="0066333E"/>
    <w:rsid w:val="00665088"/>
    <w:rsid w:val="00666DBB"/>
    <w:rsid w:val="00670B90"/>
    <w:rsid w:val="00681776"/>
    <w:rsid w:val="006913FA"/>
    <w:rsid w:val="00691EAD"/>
    <w:rsid w:val="00694A19"/>
    <w:rsid w:val="006A4C73"/>
    <w:rsid w:val="006A7294"/>
    <w:rsid w:val="006C1EC2"/>
    <w:rsid w:val="006C2245"/>
    <w:rsid w:val="006D3657"/>
    <w:rsid w:val="006D3E8A"/>
    <w:rsid w:val="006D4A9A"/>
    <w:rsid w:val="006E4EE4"/>
    <w:rsid w:val="006F1532"/>
    <w:rsid w:val="006F2599"/>
    <w:rsid w:val="006F2A38"/>
    <w:rsid w:val="006F31F5"/>
    <w:rsid w:val="00714CA1"/>
    <w:rsid w:val="00717FF7"/>
    <w:rsid w:val="007340B7"/>
    <w:rsid w:val="007417DA"/>
    <w:rsid w:val="00750149"/>
    <w:rsid w:val="007611C8"/>
    <w:rsid w:val="00763A2F"/>
    <w:rsid w:val="00766595"/>
    <w:rsid w:val="00772C92"/>
    <w:rsid w:val="00773F99"/>
    <w:rsid w:val="00774AB4"/>
    <w:rsid w:val="00774FFE"/>
    <w:rsid w:val="00786945"/>
    <w:rsid w:val="00790D8C"/>
    <w:rsid w:val="00792029"/>
    <w:rsid w:val="00792667"/>
    <w:rsid w:val="0079380B"/>
    <w:rsid w:val="00793CDA"/>
    <w:rsid w:val="007946CD"/>
    <w:rsid w:val="0079693C"/>
    <w:rsid w:val="007A08B2"/>
    <w:rsid w:val="007A4812"/>
    <w:rsid w:val="007B25CD"/>
    <w:rsid w:val="007B3729"/>
    <w:rsid w:val="007B491A"/>
    <w:rsid w:val="007B5394"/>
    <w:rsid w:val="007C286C"/>
    <w:rsid w:val="007C42BE"/>
    <w:rsid w:val="007C60AE"/>
    <w:rsid w:val="007C617F"/>
    <w:rsid w:val="007C7ABB"/>
    <w:rsid w:val="007D5BA0"/>
    <w:rsid w:val="007D7A58"/>
    <w:rsid w:val="007E2FA4"/>
    <w:rsid w:val="007E7277"/>
    <w:rsid w:val="007F4C00"/>
    <w:rsid w:val="007F57B9"/>
    <w:rsid w:val="007F6BE0"/>
    <w:rsid w:val="00815F6A"/>
    <w:rsid w:val="0082160C"/>
    <w:rsid w:val="0082176A"/>
    <w:rsid w:val="00825A71"/>
    <w:rsid w:val="00826276"/>
    <w:rsid w:val="00827E35"/>
    <w:rsid w:val="00831CD1"/>
    <w:rsid w:val="00842452"/>
    <w:rsid w:val="008435CC"/>
    <w:rsid w:val="00851F51"/>
    <w:rsid w:val="0085212E"/>
    <w:rsid w:val="00854906"/>
    <w:rsid w:val="00864D94"/>
    <w:rsid w:val="00870592"/>
    <w:rsid w:val="00870C79"/>
    <w:rsid w:val="00876925"/>
    <w:rsid w:val="0088059B"/>
    <w:rsid w:val="00890BB4"/>
    <w:rsid w:val="0089563F"/>
    <w:rsid w:val="008A4375"/>
    <w:rsid w:val="008A4812"/>
    <w:rsid w:val="008B06CD"/>
    <w:rsid w:val="008B75CC"/>
    <w:rsid w:val="008C06A4"/>
    <w:rsid w:val="008D0315"/>
    <w:rsid w:val="008E3725"/>
    <w:rsid w:val="008E5324"/>
    <w:rsid w:val="008E7851"/>
    <w:rsid w:val="008F2BB1"/>
    <w:rsid w:val="00903C00"/>
    <w:rsid w:val="009122D0"/>
    <w:rsid w:val="009136AE"/>
    <w:rsid w:val="00915B20"/>
    <w:rsid w:val="0091624C"/>
    <w:rsid w:val="00920DF2"/>
    <w:rsid w:val="0092524C"/>
    <w:rsid w:val="0093083F"/>
    <w:rsid w:val="009358D0"/>
    <w:rsid w:val="00937C24"/>
    <w:rsid w:val="00942258"/>
    <w:rsid w:val="00943C08"/>
    <w:rsid w:val="00943EBA"/>
    <w:rsid w:val="00944BFB"/>
    <w:rsid w:val="0095602F"/>
    <w:rsid w:val="009578EE"/>
    <w:rsid w:val="009617A8"/>
    <w:rsid w:val="00972984"/>
    <w:rsid w:val="009742E4"/>
    <w:rsid w:val="009846C6"/>
    <w:rsid w:val="0099647B"/>
    <w:rsid w:val="009A1C01"/>
    <w:rsid w:val="009B334E"/>
    <w:rsid w:val="009B6CDC"/>
    <w:rsid w:val="009C4104"/>
    <w:rsid w:val="009C6B8E"/>
    <w:rsid w:val="009D5674"/>
    <w:rsid w:val="009E0E3A"/>
    <w:rsid w:val="009E543C"/>
    <w:rsid w:val="009F2EAF"/>
    <w:rsid w:val="009F3EAD"/>
    <w:rsid w:val="009F442D"/>
    <w:rsid w:val="00A00CB7"/>
    <w:rsid w:val="00A01EE3"/>
    <w:rsid w:val="00A03297"/>
    <w:rsid w:val="00A0766C"/>
    <w:rsid w:val="00A12285"/>
    <w:rsid w:val="00A12927"/>
    <w:rsid w:val="00A1740D"/>
    <w:rsid w:val="00A227D7"/>
    <w:rsid w:val="00A24C86"/>
    <w:rsid w:val="00A32248"/>
    <w:rsid w:val="00A32C24"/>
    <w:rsid w:val="00A42C1C"/>
    <w:rsid w:val="00A43B8F"/>
    <w:rsid w:val="00A527A9"/>
    <w:rsid w:val="00A52C67"/>
    <w:rsid w:val="00A52E24"/>
    <w:rsid w:val="00A55F99"/>
    <w:rsid w:val="00A651FF"/>
    <w:rsid w:val="00A65604"/>
    <w:rsid w:val="00A6653B"/>
    <w:rsid w:val="00A7050F"/>
    <w:rsid w:val="00A74908"/>
    <w:rsid w:val="00A9073C"/>
    <w:rsid w:val="00A93169"/>
    <w:rsid w:val="00A93F1F"/>
    <w:rsid w:val="00A9459F"/>
    <w:rsid w:val="00AA0195"/>
    <w:rsid w:val="00AA086D"/>
    <w:rsid w:val="00AB7959"/>
    <w:rsid w:val="00AC0971"/>
    <w:rsid w:val="00AE43AB"/>
    <w:rsid w:val="00AF14BA"/>
    <w:rsid w:val="00AF1519"/>
    <w:rsid w:val="00B00FB8"/>
    <w:rsid w:val="00B059F0"/>
    <w:rsid w:val="00B1262D"/>
    <w:rsid w:val="00B139C7"/>
    <w:rsid w:val="00B175BF"/>
    <w:rsid w:val="00B22C01"/>
    <w:rsid w:val="00B2324D"/>
    <w:rsid w:val="00B24817"/>
    <w:rsid w:val="00B25196"/>
    <w:rsid w:val="00B30452"/>
    <w:rsid w:val="00B31447"/>
    <w:rsid w:val="00B31BC3"/>
    <w:rsid w:val="00B361C1"/>
    <w:rsid w:val="00B51E82"/>
    <w:rsid w:val="00B6083D"/>
    <w:rsid w:val="00B62576"/>
    <w:rsid w:val="00B6463C"/>
    <w:rsid w:val="00B82E1F"/>
    <w:rsid w:val="00B8314B"/>
    <w:rsid w:val="00B85105"/>
    <w:rsid w:val="00B94A87"/>
    <w:rsid w:val="00B9574A"/>
    <w:rsid w:val="00BA0716"/>
    <w:rsid w:val="00BA2D0B"/>
    <w:rsid w:val="00BA702E"/>
    <w:rsid w:val="00BB42D8"/>
    <w:rsid w:val="00BB68AF"/>
    <w:rsid w:val="00BC167A"/>
    <w:rsid w:val="00BC21D7"/>
    <w:rsid w:val="00BD22EB"/>
    <w:rsid w:val="00BE2308"/>
    <w:rsid w:val="00BE7F0A"/>
    <w:rsid w:val="00BF36BB"/>
    <w:rsid w:val="00C03599"/>
    <w:rsid w:val="00C05220"/>
    <w:rsid w:val="00C14006"/>
    <w:rsid w:val="00C17652"/>
    <w:rsid w:val="00C31DFD"/>
    <w:rsid w:val="00C32929"/>
    <w:rsid w:val="00C36208"/>
    <w:rsid w:val="00C44C19"/>
    <w:rsid w:val="00C605E4"/>
    <w:rsid w:val="00C77EBC"/>
    <w:rsid w:val="00C80B2B"/>
    <w:rsid w:val="00C91240"/>
    <w:rsid w:val="00C92774"/>
    <w:rsid w:val="00C92F48"/>
    <w:rsid w:val="00C95199"/>
    <w:rsid w:val="00CA0EF3"/>
    <w:rsid w:val="00CA7E43"/>
    <w:rsid w:val="00CB6819"/>
    <w:rsid w:val="00CC1DBE"/>
    <w:rsid w:val="00CC24B7"/>
    <w:rsid w:val="00CC7A72"/>
    <w:rsid w:val="00CD2947"/>
    <w:rsid w:val="00CD2CDC"/>
    <w:rsid w:val="00CD41FA"/>
    <w:rsid w:val="00CE59FA"/>
    <w:rsid w:val="00CE7BCA"/>
    <w:rsid w:val="00CF1EBB"/>
    <w:rsid w:val="00CF37CF"/>
    <w:rsid w:val="00CF6F1B"/>
    <w:rsid w:val="00CF7CCE"/>
    <w:rsid w:val="00D02F2F"/>
    <w:rsid w:val="00D05FD2"/>
    <w:rsid w:val="00D131C7"/>
    <w:rsid w:val="00D13BEA"/>
    <w:rsid w:val="00D17FD7"/>
    <w:rsid w:val="00D266E8"/>
    <w:rsid w:val="00D33FB8"/>
    <w:rsid w:val="00D4298A"/>
    <w:rsid w:val="00D4354A"/>
    <w:rsid w:val="00D52E1B"/>
    <w:rsid w:val="00D6124F"/>
    <w:rsid w:val="00D65EF3"/>
    <w:rsid w:val="00D707FF"/>
    <w:rsid w:val="00D76A2B"/>
    <w:rsid w:val="00D92E4E"/>
    <w:rsid w:val="00D97504"/>
    <w:rsid w:val="00D97D12"/>
    <w:rsid w:val="00DA1F47"/>
    <w:rsid w:val="00DB2923"/>
    <w:rsid w:val="00DB6275"/>
    <w:rsid w:val="00DC2BDB"/>
    <w:rsid w:val="00DD4C77"/>
    <w:rsid w:val="00DE7715"/>
    <w:rsid w:val="00E00618"/>
    <w:rsid w:val="00E03B41"/>
    <w:rsid w:val="00E05782"/>
    <w:rsid w:val="00E13404"/>
    <w:rsid w:val="00E17CE4"/>
    <w:rsid w:val="00E22F2F"/>
    <w:rsid w:val="00E42AE0"/>
    <w:rsid w:val="00E55CD2"/>
    <w:rsid w:val="00E57DD3"/>
    <w:rsid w:val="00E77DF5"/>
    <w:rsid w:val="00E860CE"/>
    <w:rsid w:val="00E90C32"/>
    <w:rsid w:val="00E97EA7"/>
    <w:rsid w:val="00EA0C53"/>
    <w:rsid w:val="00EA6ECC"/>
    <w:rsid w:val="00EB0E10"/>
    <w:rsid w:val="00EC233C"/>
    <w:rsid w:val="00EC2584"/>
    <w:rsid w:val="00EC59D7"/>
    <w:rsid w:val="00EC77E8"/>
    <w:rsid w:val="00EC7A6C"/>
    <w:rsid w:val="00ED1F41"/>
    <w:rsid w:val="00ED2D3C"/>
    <w:rsid w:val="00EE6330"/>
    <w:rsid w:val="00EF36AD"/>
    <w:rsid w:val="00EF771A"/>
    <w:rsid w:val="00EF7809"/>
    <w:rsid w:val="00F035DE"/>
    <w:rsid w:val="00F06D23"/>
    <w:rsid w:val="00F06EF6"/>
    <w:rsid w:val="00F15761"/>
    <w:rsid w:val="00F17A10"/>
    <w:rsid w:val="00F258E5"/>
    <w:rsid w:val="00F27D05"/>
    <w:rsid w:val="00F30D18"/>
    <w:rsid w:val="00F37930"/>
    <w:rsid w:val="00F56250"/>
    <w:rsid w:val="00F71A33"/>
    <w:rsid w:val="00F84BF2"/>
    <w:rsid w:val="00F90951"/>
    <w:rsid w:val="00F95059"/>
    <w:rsid w:val="00FA2F70"/>
    <w:rsid w:val="00FA4D9D"/>
    <w:rsid w:val="00FA7952"/>
    <w:rsid w:val="00FC106D"/>
    <w:rsid w:val="00FC18E2"/>
    <w:rsid w:val="00FC1E0D"/>
    <w:rsid w:val="00FC325F"/>
    <w:rsid w:val="00FD225D"/>
    <w:rsid w:val="00FE22C9"/>
    <w:rsid w:val="00FE3B5F"/>
    <w:rsid w:val="00FE45B9"/>
    <w:rsid w:val="00FF0BE8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B"/>
  </w:style>
  <w:style w:type="paragraph" w:styleId="1">
    <w:name w:val="heading 1"/>
    <w:basedOn w:val="a"/>
    <w:next w:val="a"/>
    <w:link w:val="10"/>
    <w:uiPriority w:val="9"/>
    <w:qFormat/>
    <w:rsid w:val="00915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2866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97D1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84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8474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rsid w:val="00E860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354A"/>
  </w:style>
  <w:style w:type="paragraph" w:styleId="a8">
    <w:name w:val="footer"/>
    <w:basedOn w:val="a"/>
    <w:link w:val="a9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354A"/>
  </w:style>
  <w:style w:type="paragraph" w:customStyle="1" w:styleId="ConsPlusTitle">
    <w:name w:val="ConsPlusTitle"/>
    <w:rsid w:val="00825A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0D1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C28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C28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8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15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1C3A7F"/>
    <w:rPr>
      <w:color w:val="0563C1" w:themeColor="hyperlink"/>
      <w:u w:val="single"/>
    </w:rPr>
  </w:style>
  <w:style w:type="character" w:customStyle="1" w:styleId="ad">
    <w:name w:val="Символ сноски"/>
    <w:uiPriority w:val="99"/>
    <w:unhideWhenUsed/>
    <w:qFormat/>
    <w:rsid w:val="00A93F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B"/>
  </w:style>
  <w:style w:type="paragraph" w:styleId="1">
    <w:name w:val="heading 1"/>
    <w:basedOn w:val="a"/>
    <w:next w:val="a"/>
    <w:link w:val="10"/>
    <w:uiPriority w:val="9"/>
    <w:qFormat/>
    <w:rsid w:val="00915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2866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97D1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84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8474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rsid w:val="00E860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354A"/>
  </w:style>
  <w:style w:type="paragraph" w:styleId="a8">
    <w:name w:val="footer"/>
    <w:basedOn w:val="a"/>
    <w:link w:val="a9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354A"/>
  </w:style>
  <w:style w:type="paragraph" w:customStyle="1" w:styleId="ConsPlusTitle">
    <w:name w:val="ConsPlusTitle"/>
    <w:rsid w:val="00825A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0D1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C28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C28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8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15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1C3A7F"/>
    <w:rPr>
      <w:color w:val="0563C1" w:themeColor="hyperlink"/>
      <w:u w:val="single"/>
    </w:rPr>
  </w:style>
  <w:style w:type="character" w:customStyle="1" w:styleId="ad">
    <w:name w:val="Символ сноски"/>
    <w:uiPriority w:val="99"/>
    <w:unhideWhenUsed/>
    <w:qFormat/>
    <w:rsid w:val="00A93F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Богма Антон Евгеньевич</dc:creator>
  <cp:lastModifiedBy>Ермилов Сергей Игоревич</cp:lastModifiedBy>
  <cp:revision>7</cp:revision>
  <cp:lastPrinted>2025-04-08T08:08:00Z</cp:lastPrinted>
  <dcterms:created xsi:type="dcterms:W3CDTF">2025-04-09T11:48:00Z</dcterms:created>
  <dcterms:modified xsi:type="dcterms:W3CDTF">2025-04-09T13:02:00Z</dcterms:modified>
</cp:coreProperties>
</file>